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000" w:type="pct"/>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1666" w:type="pct"/>
          </w:tcPr>
          <w:p>
            <w:pPr>
              <w:adjustRightInd w:val="0"/>
              <w:snapToGrid w:val="0"/>
              <w:spacing w:line="440" w:lineRule="exact"/>
              <w:rPr>
                <w:rFonts w:eastAsia="宋体"/>
                <w:sz w:val="24"/>
              </w:rPr>
            </w:pPr>
            <w:r>
              <w:rPr>
                <w:rFonts w:eastAsia="宋体"/>
                <w:sz w:val="24"/>
              </w:rPr>
              <w:t>证券代码：000881</w:t>
            </w:r>
          </w:p>
        </w:tc>
        <w:tc>
          <w:tcPr>
            <w:tcW w:w="1667" w:type="pct"/>
          </w:tcPr>
          <w:p>
            <w:pPr>
              <w:adjustRightInd w:val="0"/>
              <w:snapToGrid w:val="0"/>
              <w:spacing w:line="440" w:lineRule="exact"/>
              <w:jc w:val="center"/>
              <w:rPr>
                <w:rFonts w:eastAsia="宋体"/>
                <w:sz w:val="24"/>
              </w:rPr>
            </w:pPr>
            <w:r>
              <w:rPr>
                <w:rFonts w:eastAsia="宋体"/>
                <w:sz w:val="24"/>
              </w:rPr>
              <w:t>证券简称：中广核技</w:t>
            </w:r>
          </w:p>
        </w:tc>
        <w:tc>
          <w:tcPr>
            <w:tcW w:w="1667" w:type="pct"/>
          </w:tcPr>
          <w:p>
            <w:pPr>
              <w:adjustRightInd w:val="0"/>
              <w:snapToGrid w:val="0"/>
              <w:spacing w:line="440" w:lineRule="exact"/>
              <w:jc w:val="right"/>
              <w:rPr>
                <w:rFonts w:hint="default" w:eastAsia="宋体"/>
                <w:sz w:val="24"/>
                <w:lang w:val="en-US" w:eastAsia="zh-CN"/>
              </w:rPr>
            </w:pPr>
            <w:r>
              <w:rPr>
                <w:rFonts w:eastAsia="宋体"/>
                <w:sz w:val="24"/>
              </w:rPr>
              <w:t>公告编号：202</w:t>
            </w:r>
            <w:r>
              <w:rPr>
                <w:rFonts w:hint="eastAsia" w:eastAsia="宋体"/>
                <w:sz w:val="24"/>
              </w:rPr>
              <w:t>4</w:t>
            </w:r>
            <w:r>
              <w:rPr>
                <w:rFonts w:eastAsia="宋体"/>
                <w:sz w:val="24"/>
              </w:rPr>
              <w:t>-</w:t>
            </w:r>
            <w:r>
              <w:rPr>
                <w:rFonts w:hint="eastAsia" w:eastAsia="宋体"/>
                <w:sz w:val="24"/>
              </w:rPr>
              <w:t>0</w:t>
            </w:r>
            <w:r>
              <w:rPr>
                <w:rFonts w:hint="eastAsia" w:eastAsia="宋体"/>
                <w:sz w:val="24"/>
                <w:lang w:val="en-US" w:eastAsia="zh-CN"/>
              </w:rPr>
              <w:t>44</w:t>
            </w:r>
          </w:p>
        </w:tc>
      </w:tr>
    </w:tbl>
    <w:p>
      <w:pPr>
        <w:snapToGrid w:val="0"/>
        <w:spacing w:before="156" w:beforeLines="50"/>
        <w:jc w:val="center"/>
        <w:rPr>
          <w:rFonts w:eastAsia="宋体"/>
          <w:b/>
          <w:sz w:val="36"/>
          <w:szCs w:val="36"/>
        </w:rPr>
      </w:pPr>
      <w:r>
        <w:rPr>
          <w:rFonts w:eastAsia="宋体"/>
          <w:b/>
          <w:sz w:val="36"/>
          <w:szCs w:val="36"/>
        </w:rPr>
        <w:t>中广核核技术发展股份有限公司</w:t>
      </w:r>
    </w:p>
    <w:p>
      <w:pPr>
        <w:snapToGrid w:val="0"/>
        <w:jc w:val="center"/>
        <w:rPr>
          <w:rFonts w:eastAsia="宋体"/>
          <w:b/>
          <w:sz w:val="36"/>
          <w:szCs w:val="36"/>
        </w:rPr>
      </w:pPr>
      <w:r>
        <w:rPr>
          <w:rFonts w:hint="eastAsia" w:eastAsia="宋体"/>
          <w:b/>
          <w:sz w:val="36"/>
          <w:szCs w:val="36"/>
        </w:rPr>
        <w:t>关于控股股东增持公司股份计划</w:t>
      </w:r>
      <w:r>
        <w:rPr>
          <w:rFonts w:hint="eastAsia" w:eastAsia="宋体"/>
          <w:b/>
          <w:sz w:val="36"/>
          <w:szCs w:val="36"/>
          <w:lang w:val="en-US" w:eastAsia="zh-CN"/>
        </w:rPr>
        <w:t>实施完成</w:t>
      </w:r>
      <w:r>
        <w:rPr>
          <w:rFonts w:hint="eastAsia" w:eastAsia="宋体"/>
          <w:b/>
          <w:sz w:val="36"/>
          <w:szCs w:val="36"/>
        </w:rPr>
        <w:t>公告</w:t>
      </w:r>
    </w:p>
    <w:p>
      <w:pPr>
        <w:snapToGrid w:val="0"/>
        <w:jc w:val="center"/>
        <w:rPr>
          <w:rFonts w:eastAsia="宋体"/>
          <w:b/>
          <w:sz w:val="36"/>
          <w:szCs w:val="36"/>
        </w:rPr>
      </w:pPr>
    </w:p>
    <w:p>
      <w:pPr>
        <w:snapToGrid w:val="0"/>
        <w:spacing w:before="156" w:beforeLines="50" w:line="360" w:lineRule="auto"/>
        <w:ind w:firstLine="422" w:firstLineChars="200"/>
        <w:rPr>
          <w:rFonts w:eastAsia="宋体"/>
          <w:b/>
          <w:szCs w:val="21"/>
        </w:rPr>
      </w:pPr>
      <w:r>
        <w:rPr>
          <w:rFonts w:hint="eastAsia" w:eastAsia="宋体"/>
          <w:b/>
          <w:szCs w:val="21"/>
        </w:rPr>
        <w:t>中广核核技术应用有限公司保证向本公司提供的信息内容真实、准确、完整，没有虚假记载、误导性陈述或重大遗漏。</w:t>
      </w:r>
    </w:p>
    <w:p>
      <w:pPr>
        <w:snapToGrid w:val="0"/>
        <w:spacing w:line="360" w:lineRule="auto"/>
        <w:ind w:firstLine="422" w:firstLineChars="200"/>
        <w:rPr>
          <w:rFonts w:eastAsia="宋体"/>
          <w:b/>
          <w:szCs w:val="21"/>
        </w:rPr>
      </w:pPr>
      <w:r>
        <w:rPr>
          <w:rFonts w:hint="eastAsia" w:eastAsia="宋体"/>
          <w:b/>
          <w:szCs w:val="21"/>
        </w:rPr>
        <w:t>本公司及董事会全体成员保证公告内容与信息披露义务人提供的信息一致。</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特别提示：</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中广核核技术发展股份有限公司（以下简称“公司”或“中广核技”）2024年3月2日披露了《关于控股股东增持公司股份计划的公告》（公告编号：2024-013），公司控股股东中广核核技术应用有限公司（以下简称“核技术应用”）计划在2024年3月2日起6个月内以集中竞价交易的方式增持公司股份不少于657.93万股，且不超过1,315.86万股。</w:t>
      </w:r>
    </w:p>
    <w:p>
      <w:pPr>
        <w:adjustRightInd w:val="0"/>
        <w:snapToGrid w:val="0"/>
        <w:spacing w:line="360" w:lineRule="auto"/>
        <w:ind w:firstLine="480" w:firstLineChars="200"/>
        <w:outlineLvl w:val="0"/>
        <w:rPr>
          <w:rFonts w:eastAsia="宋体"/>
          <w:bCs/>
          <w:color w:val="auto"/>
          <w:sz w:val="24"/>
          <w:szCs w:val="24"/>
        </w:rPr>
      </w:pPr>
      <w:r>
        <w:rPr>
          <w:rFonts w:hint="eastAsia" w:eastAsia="宋体"/>
          <w:bCs/>
          <w:color w:val="auto"/>
          <w:sz w:val="24"/>
          <w:szCs w:val="24"/>
        </w:rPr>
        <w:t>2</w:t>
      </w:r>
      <w:r>
        <w:rPr>
          <w:rFonts w:hint="eastAsia" w:eastAsia="宋体"/>
          <w:bCs/>
          <w:color w:val="auto"/>
          <w:sz w:val="24"/>
          <w:szCs w:val="24"/>
          <w:lang w:eastAsia="zh-CN"/>
        </w:rPr>
        <w:t>.</w:t>
      </w:r>
      <w:r>
        <w:rPr>
          <w:rFonts w:hint="eastAsia" w:eastAsia="宋体"/>
          <w:bCs/>
          <w:color w:val="auto"/>
          <w:sz w:val="24"/>
          <w:szCs w:val="24"/>
        </w:rPr>
        <w:t>截至本公告披露之日，本次增持计划</w:t>
      </w:r>
      <w:r>
        <w:rPr>
          <w:rFonts w:hint="eastAsia" w:eastAsia="宋体"/>
          <w:bCs/>
          <w:color w:val="auto"/>
          <w:sz w:val="24"/>
          <w:szCs w:val="24"/>
          <w:lang w:val="en-US" w:eastAsia="zh-CN"/>
        </w:rPr>
        <w:t>已</w:t>
      </w:r>
      <w:r>
        <w:rPr>
          <w:rFonts w:hint="eastAsia" w:eastAsia="宋体"/>
          <w:bCs/>
          <w:color w:val="auto"/>
          <w:sz w:val="24"/>
          <w:szCs w:val="24"/>
        </w:rPr>
        <w:t>实施</w:t>
      </w:r>
      <w:r>
        <w:rPr>
          <w:rFonts w:hint="eastAsia" w:eastAsia="宋体"/>
          <w:bCs/>
          <w:color w:val="auto"/>
          <w:sz w:val="24"/>
          <w:szCs w:val="24"/>
          <w:lang w:val="en-US" w:eastAsia="zh-CN"/>
        </w:rPr>
        <w:t>完成</w:t>
      </w:r>
      <w:r>
        <w:rPr>
          <w:rFonts w:hint="eastAsia" w:eastAsia="宋体"/>
          <w:bCs/>
          <w:color w:val="auto"/>
          <w:sz w:val="24"/>
          <w:szCs w:val="24"/>
        </w:rPr>
        <w:t>，核技术应用通过深圳证券交易所系统以集中竞价交易的方式累计增持公司股份13,158,526股，占公司总股本1.39%。</w:t>
      </w:r>
      <w:bookmarkStart w:id="0" w:name="_GoBack"/>
      <w:bookmarkEnd w:id="0"/>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现将相关情况公告如下：</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一、增持主体的基本情况</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增持主体：公司控股股东中广核核技术应用有限公司。本次增持计划实施前，核技术应用持有公司</w:t>
      </w:r>
      <w:r>
        <w:rPr>
          <w:rFonts w:hint="eastAsia" w:eastAsia="宋体"/>
          <w:bCs/>
          <w:sz w:val="24"/>
          <w:szCs w:val="24"/>
          <w:lang w:val="en-US" w:eastAsia="zh-CN"/>
        </w:rPr>
        <w:t>股份</w:t>
      </w:r>
      <w:r>
        <w:rPr>
          <w:rFonts w:hint="eastAsia" w:eastAsia="宋体"/>
          <w:bCs/>
          <w:sz w:val="24"/>
          <w:szCs w:val="24"/>
        </w:rPr>
        <w:t>257,911,972股，占公司总股本的27.28%；核技术应用的一致行动人中广核资本控股有限公司（以下简称“资本控股”）持有公司股份12,557,084股，占公司总股本的1.33%。核技术应用和资本控股合计持有公司股份270,469,056股，占公司总股本的28.61%。</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lang w:val="en-US" w:eastAsia="zh-CN"/>
        </w:rPr>
        <w:t>2</w:t>
      </w:r>
      <w:r>
        <w:rPr>
          <w:rFonts w:hint="eastAsia" w:eastAsia="宋体"/>
          <w:bCs/>
          <w:sz w:val="24"/>
          <w:szCs w:val="24"/>
          <w:lang w:eastAsia="zh-CN"/>
        </w:rPr>
        <w:t>.</w:t>
      </w:r>
      <w:r>
        <w:rPr>
          <w:rFonts w:hint="eastAsia" w:eastAsia="宋体"/>
          <w:bCs/>
          <w:sz w:val="24"/>
          <w:szCs w:val="24"/>
        </w:rPr>
        <w:t>核技术应用在本次增持计划公告前6个月不存在减持公司股份的情形。</w:t>
      </w:r>
    </w:p>
    <w:p>
      <w:pPr>
        <w:adjustRightInd w:val="0"/>
        <w:snapToGrid w:val="0"/>
        <w:spacing w:line="360" w:lineRule="auto"/>
        <w:ind w:firstLine="482" w:firstLineChars="200"/>
        <w:outlineLvl w:val="0"/>
        <w:rPr>
          <w:rFonts w:eastAsia="宋体"/>
          <w:b/>
          <w:sz w:val="24"/>
          <w:szCs w:val="24"/>
        </w:rPr>
      </w:pPr>
      <w:r>
        <w:rPr>
          <w:rFonts w:hint="eastAsia" w:eastAsia="宋体"/>
          <w:b/>
          <w:sz w:val="24"/>
          <w:szCs w:val="24"/>
        </w:rPr>
        <w:t>二、增持计划的主要内容</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本次拟增持股份的目的：基于对公司长期投资价值的认可及对公司未来</w:t>
      </w:r>
    </w:p>
    <w:p>
      <w:pPr>
        <w:adjustRightInd w:val="0"/>
        <w:snapToGrid w:val="0"/>
        <w:spacing w:line="360" w:lineRule="auto"/>
        <w:outlineLvl w:val="0"/>
        <w:rPr>
          <w:rFonts w:eastAsia="宋体"/>
          <w:bCs/>
          <w:sz w:val="24"/>
          <w:szCs w:val="24"/>
        </w:rPr>
      </w:pPr>
      <w:r>
        <w:rPr>
          <w:rFonts w:hint="eastAsia" w:eastAsia="宋体"/>
          <w:bCs/>
          <w:sz w:val="24"/>
          <w:szCs w:val="24"/>
        </w:rPr>
        <w:t>持续稳定发展的信心，切实维护广大投资者权益和资本市场稳定。</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2</w:t>
      </w:r>
      <w:r>
        <w:rPr>
          <w:rFonts w:hint="eastAsia" w:eastAsia="宋体"/>
          <w:bCs/>
          <w:sz w:val="24"/>
          <w:szCs w:val="24"/>
          <w:lang w:eastAsia="zh-CN"/>
        </w:rPr>
        <w:t>.</w:t>
      </w:r>
      <w:r>
        <w:rPr>
          <w:rFonts w:hint="eastAsia" w:eastAsia="宋体"/>
          <w:bCs/>
          <w:sz w:val="24"/>
          <w:szCs w:val="24"/>
        </w:rPr>
        <w:t>本次拟增持股份的数量：拟累计增持公司股份不少于657.93万股，且不超过1,315.86万股，增持完成后核技术应用和资本控股合计持有公司股份的比例不超过30%。</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3</w:t>
      </w:r>
      <w:r>
        <w:rPr>
          <w:rFonts w:hint="eastAsia" w:eastAsia="宋体"/>
          <w:bCs/>
          <w:sz w:val="24"/>
          <w:szCs w:val="24"/>
          <w:lang w:eastAsia="zh-CN"/>
        </w:rPr>
        <w:t>.</w:t>
      </w:r>
      <w:r>
        <w:rPr>
          <w:rFonts w:hint="eastAsia" w:eastAsia="宋体"/>
          <w:bCs/>
          <w:sz w:val="24"/>
          <w:szCs w:val="24"/>
        </w:rPr>
        <w:t>本次拟增持股份的价格：本次增持计划未设定价格区间，增持主体将基于对公司股票价值的合理判断，并根据公司股票价格波动情况及资本市场整体趋势，择机实施增持计划。</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4</w:t>
      </w:r>
      <w:r>
        <w:rPr>
          <w:rFonts w:hint="eastAsia" w:eastAsia="宋体"/>
          <w:bCs/>
          <w:sz w:val="24"/>
          <w:szCs w:val="24"/>
          <w:lang w:eastAsia="zh-CN"/>
        </w:rPr>
        <w:t>.</w:t>
      </w:r>
      <w:r>
        <w:rPr>
          <w:rFonts w:hint="eastAsia" w:eastAsia="宋体"/>
          <w:bCs/>
          <w:sz w:val="24"/>
          <w:szCs w:val="24"/>
        </w:rPr>
        <w:t>本次增持计划的实施期限：自增持计划公告披露日（2024年3月2日）起6个月内。增持计划实施期间，如遇公司股票停牌，增持计划将在股票复牌后顺延实施并及时披露。</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5</w:t>
      </w:r>
      <w:r>
        <w:rPr>
          <w:rFonts w:hint="eastAsia" w:eastAsia="宋体"/>
          <w:bCs/>
          <w:sz w:val="24"/>
          <w:szCs w:val="24"/>
          <w:lang w:eastAsia="zh-CN"/>
        </w:rPr>
        <w:t>.</w:t>
      </w:r>
      <w:r>
        <w:rPr>
          <w:rFonts w:hint="eastAsia" w:eastAsia="宋体"/>
          <w:bCs/>
          <w:sz w:val="24"/>
          <w:szCs w:val="24"/>
        </w:rPr>
        <w:t>本次拟增持股份的方式：通过深圳证券交易所交易系统以集中竞价交易的方式增持公司股份。</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6</w:t>
      </w:r>
      <w:r>
        <w:rPr>
          <w:rFonts w:hint="eastAsia" w:eastAsia="宋体"/>
          <w:bCs/>
          <w:sz w:val="24"/>
          <w:szCs w:val="24"/>
          <w:lang w:eastAsia="zh-CN"/>
        </w:rPr>
        <w:t>.</w:t>
      </w:r>
      <w:r>
        <w:rPr>
          <w:rFonts w:hint="eastAsia" w:eastAsia="宋体"/>
          <w:bCs/>
          <w:sz w:val="24"/>
          <w:szCs w:val="24"/>
        </w:rPr>
        <w:t>本次增持非基于增持主体的特定身份，如丧失相关身份时将继续实施本</w:t>
      </w:r>
    </w:p>
    <w:p>
      <w:pPr>
        <w:adjustRightInd w:val="0"/>
        <w:snapToGrid w:val="0"/>
        <w:spacing w:line="360" w:lineRule="auto"/>
        <w:outlineLvl w:val="0"/>
        <w:rPr>
          <w:rFonts w:eastAsia="宋体"/>
          <w:bCs/>
          <w:sz w:val="24"/>
          <w:szCs w:val="24"/>
        </w:rPr>
      </w:pPr>
      <w:r>
        <w:rPr>
          <w:rFonts w:hint="eastAsia" w:eastAsia="宋体"/>
          <w:bCs/>
          <w:sz w:val="24"/>
          <w:szCs w:val="24"/>
        </w:rPr>
        <w:t>增持计划。</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7</w:t>
      </w:r>
      <w:r>
        <w:rPr>
          <w:rFonts w:hint="eastAsia" w:eastAsia="宋体"/>
          <w:bCs/>
          <w:sz w:val="24"/>
          <w:szCs w:val="24"/>
          <w:lang w:eastAsia="zh-CN"/>
        </w:rPr>
        <w:t>.</w:t>
      </w:r>
      <w:r>
        <w:rPr>
          <w:rFonts w:hint="eastAsia" w:eastAsia="宋体"/>
          <w:bCs/>
          <w:sz w:val="24"/>
          <w:szCs w:val="24"/>
        </w:rPr>
        <w:t>核技术应用承诺本次增持所得股份将遵守中国证监会及深圳证券交易所关于控股股东股份锁定期限的安排。核技术应用承诺在上述实施期限内完成本次增持计划，承诺在增持期间及法定期限内不减持公司股份，并将严格按照中国证监会、深圳证券交易所有关法律、法规及规范性文件的相关规定执行，不进行内幕交易、敏感期买卖股份、短线交易等行为。</w:t>
      </w:r>
    </w:p>
    <w:p>
      <w:pPr>
        <w:adjustRightInd w:val="0"/>
        <w:snapToGrid w:val="0"/>
        <w:spacing w:line="360" w:lineRule="auto"/>
        <w:ind w:firstLine="482" w:firstLineChars="200"/>
        <w:outlineLvl w:val="0"/>
        <w:rPr>
          <w:rFonts w:hint="eastAsia" w:eastAsia="宋体"/>
          <w:b/>
          <w:sz w:val="24"/>
          <w:szCs w:val="24"/>
          <w:lang w:eastAsia="zh-CN"/>
        </w:rPr>
      </w:pPr>
      <w:r>
        <w:rPr>
          <w:rFonts w:hint="eastAsia" w:eastAsia="宋体"/>
          <w:b/>
          <w:sz w:val="24"/>
          <w:szCs w:val="24"/>
          <w:lang w:val="en-US" w:eastAsia="zh-CN"/>
        </w:rPr>
        <w:t>三</w:t>
      </w:r>
      <w:r>
        <w:rPr>
          <w:rFonts w:hint="eastAsia" w:eastAsia="宋体"/>
          <w:b/>
          <w:sz w:val="24"/>
          <w:szCs w:val="24"/>
        </w:rPr>
        <w:t>、增持计划实施</w:t>
      </w:r>
      <w:r>
        <w:rPr>
          <w:rFonts w:hint="eastAsia" w:eastAsia="宋体"/>
          <w:b/>
          <w:sz w:val="24"/>
          <w:szCs w:val="24"/>
          <w:lang w:val="en-US" w:eastAsia="zh-CN"/>
        </w:rPr>
        <w:t>结果</w:t>
      </w:r>
    </w:p>
    <w:p>
      <w:pPr>
        <w:adjustRightInd w:val="0"/>
        <w:snapToGrid w:val="0"/>
        <w:spacing w:line="360" w:lineRule="auto"/>
        <w:ind w:firstLine="480" w:firstLineChars="200"/>
        <w:outlineLvl w:val="0"/>
        <w:rPr>
          <w:rFonts w:hint="eastAsia" w:eastAsia="宋体"/>
          <w:bCs/>
          <w:color w:val="auto"/>
          <w:sz w:val="24"/>
          <w:szCs w:val="24"/>
        </w:rPr>
      </w:pPr>
      <w:r>
        <w:rPr>
          <w:rFonts w:hint="eastAsia" w:eastAsia="宋体"/>
          <w:bCs/>
          <w:color w:val="auto"/>
          <w:sz w:val="24"/>
          <w:szCs w:val="24"/>
        </w:rPr>
        <w:t>截至本公告披露之日，本次增持计划</w:t>
      </w:r>
      <w:r>
        <w:rPr>
          <w:rFonts w:hint="eastAsia" w:eastAsia="宋体"/>
          <w:bCs/>
          <w:color w:val="auto"/>
          <w:sz w:val="24"/>
          <w:szCs w:val="24"/>
          <w:lang w:val="en-US" w:eastAsia="zh-CN"/>
        </w:rPr>
        <w:t>已</w:t>
      </w:r>
      <w:r>
        <w:rPr>
          <w:rFonts w:hint="eastAsia" w:eastAsia="宋体"/>
          <w:bCs/>
          <w:color w:val="auto"/>
          <w:sz w:val="24"/>
          <w:szCs w:val="24"/>
        </w:rPr>
        <w:t>实施</w:t>
      </w:r>
      <w:r>
        <w:rPr>
          <w:rFonts w:hint="eastAsia" w:eastAsia="宋体"/>
          <w:bCs/>
          <w:color w:val="auto"/>
          <w:sz w:val="24"/>
          <w:szCs w:val="24"/>
          <w:lang w:val="en-US" w:eastAsia="zh-CN"/>
        </w:rPr>
        <w:t>完成</w:t>
      </w:r>
      <w:r>
        <w:rPr>
          <w:rFonts w:hint="eastAsia" w:eastAsia="宋体"/>
          <w:bCs/>
          <w:color w:val="auto"/>
          <w:sz w:val="24"/>
          <w:szCs w:val="24"/>
        </w:rPr>
        <w:t>，核技术应用通过深圳证券交易所交易系统以集中竞价交易方式累计增持公司股份13,158,526股，占公司总股本1.39%。截至本公告披露之日，核技术应用持有公司股份271,070,498股，占公司总股本的28.67%，核技术应用及一致行动人资本控股合计持有公司表决权股份283,627,582股，占公司总股本的29.9999</w:t>
      </w:r>
      <w:r>
        <w:rPr>
          <w:rFonts w:hint="eastAsia" w:eastAsia="宋体"/>
          <w:bCs/>
          <w:color w:val="auto"/>
          <w:sz w:val="24"/>
          <w:szCs w:val="24"/>
          <w:lang w:val="en-US" w:eastAsia="zh-CN"/>
        </w:rPr>
        <w:t>83</w:t>
      </w:r>
      <w:r>
        <w:rPr>
          <w:rFonts w:hint="eastAsia" w:eastAsia="宋体"/>
          <w:bCs/>
          <w:color w:val="auto"/>
          <w:sz w:val="24"/>
          <w:szCs w:val="24"/>
        </w:rPr>
        <w:t>%。</w:t>
      </w:r>
    </w:p>
    <w:p>
      <w:pPr>
        <w:adjustRightInd w:val="0"/>
        <w:snapToGrid w:val="0"/>
        <w:spacing w:line="360" w:lineRule="auto"/>
        <w:ind w:firstLine="482" w:firstLineChars="200"/>
        <w:outlineLvl w:val="0"/>
        <w:rPr>
          <w:rFonts w:eastAsia="宋体"/>
          <w:b/>
          <w:color w:val="auto"/>
          <w:sz w:val="24"/>
          <w:szCs w:val="24"/>
        </w:rPr>
      </w:pPr>
      <w:r>
        <w:rPr>
          <w:rFonts w:hint="eastAsia" w:eastAsia="宋体"/>
          <w:b/>
          <w:color w:val="auto"/>
          <w:sz w:val="24"/>
          <w:szCs w:val="24"/>
          <w:lang w:val="en-US" w:eastAsia="zh-CN"/>
        </w:rPr>
        <w:t>四</w:t>
      </w:r>
      <w:r>
        <w:rPr>
          <w:rFonts w:hint="eastAsia" w:eastAsia="宋体"/>
          <w:b/>
          <w:color w:val="auto"/>
          <w:sz w:val="24"/>
          <w:szCs w:val="24"/>
        </w:rPr>
        <w:t>、其他相关说明</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1</w:t>
      </w:r>
      <w:r>
        <w:rPr>
          <w:rFonts w:hint="eastAsia" w:eastAsia="宋体"/>
          <w:bCs/>
          <w:sz w:val="24"/>
          <w:szCs w:val="24"/>
          <w:lang w:eastAsia="zh-CN"/>
        </w:rPr>
        <w:t>.</w:t>
      </w:r>
      <w:r>
        <w:rPr>
          <w:rFonts w:hint="eastAsia" w:eastAsia="宋体"/>
          <w:bCs/>
          <w:sz w:val="24"/>
          <w:szCs w:val="24"/>
        </w:rPr>
        <w:t>本次增持符合《公司法》《证券法》《上市公司收购管理办法》《深圳证券交易所股票上市规则》《深圳证券交易所上市公司自律监管指引第10号—股份变动管理》等法律、法规及规范性文件的有关规定。</w:t>
      </w:r>
    </w:p>
    <w:p>
      <w:pPr>
        <w:adjustRightInd w:val="0"/>
        <w:snapToGrid w:val="0"/>
        <w:spacing w:line="360" w:lineRule="auto"/>
        <w:ind w:firstLine="480" w:firstLineChars="200"/>
        <w:outlineLvl w:val="0"/>
        <w:rPr>
          <w:rFonts w:eastAsia="宋体"/>
          <w:bCs/>
          <w:sz w:val="24"/>
          <w:szCs w:val="24"/>
        </w:rPr>
      </w:pPr>
      <w:r>
        <w:rPr>
          <w:rFonts w:hint="eastAsia" w:eastAsia="宋体"/>
          <w:bCs/>
          <w:sz w:val="24"/>
          <w:szCs w:val="24"/>
        </w:rPr>
        <w:t>2</w:t>
      </w:r>
      <w:r>
        <w:rPr>
          <w:rFonts w:hint="eastAsia" w:eastAsia="宋体"/>
          <w:bCs/>
          <w:sz w:val="24"/>
          <w:szCs w:val="24"/>
          <w:lang w:eastAsia="zh-CN"/>
        </w:rPr>
        <w:t>.</w:t>
      </w:r>
      <w:r>
        <w:rPr>
          <w:rFonts w:hint="eastAsia" w:eastAsia="宋体"/>
          <w:bCs/>
          <w:sz w:val="24"/>
          <w:szCs w:val="24"/>
        </w:rPr>
        <w:t>本次股份增持计划的实施不会导致公司股权分布不具备上市条件，不会</w:t>
      </w:r>
    </w:p>
    <w:p>
      <w:pPr>
        <w:adjustRightInd w:val="0"/>
        <w:snapToGrid w:val="0"/>
        <w:spacing w:line="360" w:lineRule="auto"/>
        <w:outlineLvl w:val="0"/>
        <w:rPr>
          <w:rFonts w:hint="eastAsia" w:eastAsia="宋体"/>
          <w:bCs/>
          <w:sz w:val="24"/>
          <w:szCs w:val="24"/>
        </w:rPr>
      </w:pPr>
      <w:r>
        <w:rPr>
          <w:rFonts w:hint="eastAsia" w:eastAsia="宋体"/>
          <w:bCs/>
          <w:sz w:val="24"/>
          <w:szCs w:val="24"/>
        </w:rPr>
        <w:t>影响公司的上市地位，不会导致公司控制权发生变化。</w:t>
      </w:r>
    </w:p>
    <w:p>
      <w:pPr>
        <w:adjustRightInd w:val="0"/>
        <w:snapToGrid w:val="0"/>
        <w:spacing w:line="360" w:lineRule="auto"/>
        <w:ind w:firstLine="480" w:firstLineChars="200"/>
        <w:outlineLvl w:val="0"/>
        <w:rPr>
          <w:rFonts w:hint="default" w:eastAsia="宋体"/>
          <w:bCs/>
          <w:sz w:val="24"/>
          <w:szCs w:val="24"/>
          <w:lang w:val="en-US" w:eastAsia="zh-CN"/>
        </w:rPr>
      </w:pPr>
      <w:r>
        <w:rPr>
          <w:rFonts w:hint="eastAsia" w:eastAsia="宋体"/>
          <w:bCs/>
          <w:sz w:val="24"/>
          <w:szCs w:val="24"/>
          <w:lang w:val="en-US" w:eastAsia="zh-CN"/>
        </w:rPr>
        <w:t>3</w:t>
      </w:r>
      <w:r>
        <w:rPr>
          <w:rFonts w:hint="eastAsia" w:eastAsia="宋体"/>
          <w:bCs/>
          <w:sz w:val="24"/>
          <w:szCs w:val="24"/>
          <w:lang w:eastAsia="zh-CN"/>
        </w:rPr>
        <w:t>.本次增持所得股份将</w:t>
      </w:r>
      <w:r>
        <w:rPr>
          <w:rFonts w:hint="eastAsia" w:eastAsia="宋体"/>
          <w:bCs/>
          <w:sz w:val="24"/>
          <w:szCs w:val="24"/>
          <w:lang w:val="en-US" w:eastAsia="zh-CN"/>
        </w:rPr>
        <w:t>严格</w:t>
      </w:r>
      <w:r>
        <w:rPr>
          <w:rFonts w:hint="eastAsia" w:eastAsia="宋体"/>
          <w:bCs/>
          <w:sz w:val="24"/>
          <w:szCs w:val="24"/>
          <w:lang w:eastAsia="zh-CN"/>
        </w:rPr>
        <w:t>遵守中国证监会及深圳证券交易所关于股份锁定期限的安排。</w:t>
      </w:r>
      <w:r>
        <w:rPr>
          <w:rFonts w:hint="eastAsia" w:eastAsia="宋体"/>
          <w:bCs/>
          <w:sz w:val="24"/>
          <w:szCs w:val="24"/>
          <w:lang w:val="en-US" w:eastAsia="zh-CN"/>
        </w:rPr>
        <w:t>本次增持计划主体严格遵守有关法律法规的规定，未进行内幕交易、敏感期交易、短线交易等行为。</w:t>
      </w:r>
    </w:p>
    <w:p>
      <w:pPr>
        <w:snapToGrid w:val="0"/>
        <w:spacing w:line="360" w:lineRule="auto"/>
        <w:ind w:firstLine="482" w:firstLineChars="200"/>
        <w:rPr>
          <w:rFonts w:eastAsia="宋体"/>
          <w:b/>
          <w:bCs/>
          <w:sz w:val="24"/>
          <w:szCs w:val="24"/>
        </w:rPr>
      </w:pPr>
      <w:r>
        <w:rPr>
          <w:rFonts w:hint="eastAsia" w:eastAsia="宋体"/>
          <w:b/>
          <w:bCs/>
          <w:sz w:val="24"/>
          <w:szCs w:val="24"/>
          <w:lang w:val="en-US" w:eastAsia="zh-CN"/>
        </w:rPr>
        <w:t>五</w:t>
      </w:r>
      <w:r>
        <w:rPr>
          <w:rFonts w:hint="eastAsia" w:eastAsia="宋体"/>
          <w:b/>
          <w:bCs/>
          <w:sz w:val="24"/>
          <w:szCs w:val="24"/>
        </w:rPr>
        <w:t>、备查文件</w:t>
      </w:r>
    </w:p>
    <w:p>
      <w:pPr>
        <w:snapToGrid w:val="0"/>
        <w:spacing w:line="360" w:lineRule="auto"/>
        <w:ind w:firstLine="480" w:firstLineChars="200"/>
        <w:rPr>
          <w:rFonts w:eastAsia="宋体"/>
          <w:sz w:val="24"/>
          <w:szCs w:val="24"/>
        </w:rPr>
      </w:pPr>
      <w:r>
        <w:rPr>
          <w:rFonts w:hint="eastAsia" w:eastAsia="宋体"/>
          <w:sz w:val="24"/>
          <w:szCs w:val="24"/>
        </w:rPr>
        <w:t>核技术应用出具的《关于增持中广核核技术发展股份有限公司股份计划</w:t>
      </w:r>
      <w:r>
        <w:rPr>
          <w:rFonts w:hint="eastAsia" w:eastAsia="宋体"/>
          <w:sz w:val="24"/>
          <w:szCs w:val="24"/>
          <w:lang w:val="en-US" w:eastAsia="zh-CN"/>
        </w:rPr>
        <w:t>实施完成</w:t>
      </w:r>
      <w:r>
        <w:rPr>
          <w:rFonts w:hint="eastAsia" w:eastAsia="宋体"/>
          <w:sz w:val="24"/>
          <w:szCs w:val="24"/>
        </w:rPr>
        <w:t>的告知函》。</w:t>
      </w:r>
    </w:p>
    <w:p>
      <w:pPr>
        <w:snapToGrid w:val="0"/>
        <w:spacing w:line="360" w:lineRule="auto"/>
        <w:ind w:firstLine="480" w:firstLineChars="200"/>
        <w:rPr>
          <w:rFonts w:eastAsia="宋体"/>
          <w:sz w:val="24"/>
          <w:szCs w:val="24"/>
        </w:rPr>
      </w:pPr>
      <w:r>
        <w:rPr>
          <w:rFonts w:eastAsia="宋体"/>
          <w:sz w:val="24"/>
          <w:szCs w:val="24"/>
        </w:rPr>
        <w:t>特此公告。</w:t>
      </w: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0" w:firstLineChars="200"/>
        <w:rPr>
          <w:rFonts w:eastAsia="宋体"/>
          <w:sz w:val="24"/>
          <w:szCs w:val="24"/>
        </w:rPr>
      </w:pPr>
    </w:p>
    <w:p>
      <w:pPr>
        <w:snapToGrid w:val="0"/>
        <w:spacing w:line="360" w:lineRule="auto"/>
        <w:ind w:firstLine="482" w:firstLineChars="200"/>
        <w:jc w:val="right"/>
        <w:rPr>
          <w:rFonts w:eastAsia="宋体"/>
          <w:b/>
          <w:sz w:val="24"/>
          <w:szCs w:val="24"/>
        </w:rPr>
      </w:pPr>
      <w:r>
        <w:rPr>
          <w:rFonts w:eastAsia="宋体"/>
          <w:b/>
          <w:sz w:val="24"/>
          <w:szCs w:val="24"/>
        </w:rPr>
        <w:t>中广核核技术发展股份有限公司</w:t>
      </w:r>
    </w:p>
    <w:p>
      <w:pPr>
        <w:snapToGrid w:val="0"/>
        <w:spacing w:line="360" w:lineRule="auto"/>
        <w:ind w:firstLine="482" w:firstLineChars="200"/>
        <w:jc w:val="right"/>
        <w:rPr>
          <w:rFonts w:eastAsia="宋体"/>
          <w:b/>
          <w:sz w:val="24"/>
          <w:szCs w:val="24"/>
        </w:rPr>
      </w:pPr>
      <w:r>
        <w:rPr>
          <w:rFonts w:eastAsia="宋体"/>
          <w:b/>
          <w:sz w:val="24"/>
          <w:szCs w:val="24"/>
        </w:rPr>
        <w:t>董事会</w:t>
      </w:r>
    </w:p>
    <w:p>
      <w:pPr>
        <w:snapToGrid w:val="0"/>
        <w:spacing w:line="360" w:lineRule="auto"/>
        <w:ind w:firstLine="482" w:firstLineChars="200"/>
        <w:jc w:val="right"/>
        <w:rPr>
          <w:b/>
          <w:sz w:val="24"/>
          <w:szCs w:val="24"/>
        </w:rPr>
      </w:pPr>
      <w:r>
        <w:rPr>
          <w:rFonts w:eastAsia="宋体"/>
          <w:b/>
          <w:sz w:val="24"/>
          <w:szCs w:val="24"/>
        </w:rPr>
        <w:t>202</w:t>
      </w:r>
      <w:r>
        <w:rPr>
          <w:rFonts w:hint="eastAsia" w:eastAsia="宋体"/>
          <w:b/>
          <w:sz w:val="24"/>
          <w:szCs w:val="24"/>
        </w:rPr>
        <w:t>4</w:t>
      </w:r>
      <w:r>
        <w:rPr>
          <w:rFonts w:eastAsia="宋体"/>
          <w:b/>
          <w:sz w:val="24"/>
          <w:szCs w:val="24"/>
        </w:rPr>
        <w:t>年</w:t>
      </w:r>
      <w:r>
        <w:rPr>
          <w:rFonts w:hint="eastAsia" w:eastAsia="宋体"/>
          <w:b/>
          <w:sz w:val="24"/>
          <w:szCs w:val="24"/>
          <w:lang w:val="en-US" w:eastAsia="zh-CN"/>
        </w:rPr>
        <w:t>7</w:t>
      </w:r>
      <w:r>
        <w:rPr>
          <w:rFonts w:eastAsia="宋体"/>
          <w:b/>
          <w:sz w:val="24"/>
          <w:szCs w:val="24"/>
        </w:rPr>
        <w:t>月</w:t>
      </w:r>
      <w:r>
        <w:rPr>
          <w:rFonts w:hint="eastAsia" w:eastAsia="宋体"/>
          <w:b/>
          <w:sz w:val="24"/>
          <w:szCs w:val="24"/>
          <w:lang w:val="en-US" w:eastAsia="zh-CN"/>
        </w:rPr>
        <w:t>9</w:t>
      </w:r>
      <w:r>
        <w:rPr>
          <w:rFonts w:eastAsia="宋体"/>
          <w:b/>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C0007"/>
    <w:multiLevelType w:val="singleLevel"/>
    <w:tmpl w:val="18CC0007"/>
    <w:lvl w:ilvl="0" w:tentative="0">
      <w:start w:val="6"/>
      <w:numFmt w:val="decimal"/>
      <w:pStyle w:val="23"/>
      <w:lvlText w:val="%1、"/>
      <w:legacy w:legacy="1" w:legacySpace="0" w:legacyIndent="465"/>
      <w:lvlJc w:val="left"/>
      <w:pPr>
        <w:ind w:left="1035" w:hanging="465"/>
      </w:pPr>
      <w:rPr>
        <w:rFonts w:hint="eastAsia" w:ascii="楷体_GB2312" w:eastAsia="楷体_GB2312"/>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B07E69"/>
    <w:rsid w:val="000018E4"/>
    <w:rsid w:val="00001B05"/>
    <w:rsid w:val="00001F37"/>
    <w:rsid w:val="00003433"/>
    <w:rsid w:val="0000729F"/>
    <w:rsid w:val="00013BAD"/>
    <w:rsid w:val="00013DE7"/>
    <w:rsid w:val="0001484C"/>
    <w:rsid w:val="000222C4"/>
    <w:rsid w:val="00024767"/>
    <w:rsid w:val="000252E3"/>
    <w:rsid w:val="00027656"/>
    <w:rsid w:val="000315F7"/>
    <w:rsid w:val="00032084"/>
    <w:rsid w:val="000341F5"/>
    <w:rsid w:val="000352CD"/>
    <w:rsid w:val="000364D6"/>
    <w:rsid w:val="000405F2"/>
    <w:rsid w:val="00040745"/>
    <w:rsid w:val="00040E2A"/>
    <w:rsid w:val="000419AF"/>
    <w:rsid w:val="00045B28"/>
    <w:rsid w:val="00045FDE"/>
    <w:rsid w:val="000512F0"/>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3412"/>
    <w:rsid w:val="00155356"/>
    <w:rsid w:val="001619BE"/>
    <w:rsid w:val="001672F9"/>
    <w:rsid w:val="001711B8"/>
    <w:rsid w:val="00171F37"/>
    <w:rsid w:val="001735A0"/>
    <w:rsid w:val="00174E35"/>
    <w:rsid w:val="00175408"/>
    <w:rsid w:val="0017555B"/>
    <w:rsid w:val="001758B5"/>
    <w:rsid w:val="00175CBF"/>
    <w:rsid w:val="001779E1"/>
    <w:rsid w:val="0018038D"/>
    <w:rsid w:val="00180636"/>
    <w:rsid w:val="00182210"/>
    <w:rsid w:val="0018364A"/>
    <w:rsid w:val="00184563"/>
    <w:rsid w:val="001851C6"/>
    <w:rsid w:val="00186CD1"/>
    <w:rsid w:val="00190AA3"/>
    <w:rsid w:val="0019389A"/>
    <w:rsid w:val="00193EE4"/>
    <w:rsid w:val="001941AA"/>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04C0B"/>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BF8"/>
    <w:rsid w:val="00266E89"/>
    <w:rsid w:val="00267A6E"/>
    <w:rsid w:val="0027019A"/>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6D54"/>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2BA"/>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6040"/>
    <w:rsid w:val="00457CA7"/>
    <w:rsid w:val="00460E7C"/>
    <w:rsid w:val="00460F8C"/>
    <w:rsid w:val="00461DEF"/>
    <w:rsid w:val="004624B3"/>
    <w:rsid w:val="00462862"/>
    <w:rsid w:val="0046429F"/>
    <w:rsid w:val="00465A3C"/>
    <w:rsid w:val="00465BF0"/>
    <w:rsid w:val="0047101A"/>
    <w:rsid w:val="00474C11"/>
    <w:rsid w:val="0047752E"/>
    <w:rsid w:val="00477FF9"/>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501FD"/>
    <w:rsid w:val="0065064E"/>
    <w:rsid w:val="00651CA5"/>
    <w:rsid w:val="00652542"/>
    <w:rsid w:val="00652600"/>
    <w:rsid w:val="00652C81"/>
    <w:rsid w:val="00657A1A"/>
    <w:rsid w:val="00661874"/>
    <w:rsid w:val="00662635"/>
    <w:rsid w:val="006634C7"/>
    <w:rsid w:val="006708BA"/>
    <w:rsid w:val="00670B7D"/>
    <w:rsid w:val="00671D3A"/>
    <w:rsid w:val="00671D3E"/>
    <w:rsid w:val="0067673B"/>
    <w:rsid w:val="00680400"/>
    <w:rsid w:val="00680C95"/>
    <w:rsid w:val="00683E22"/>
    <w:rsid w:val="006857C3"/>
    <w:rsid w:val="00686F2B"/>
    <w:rsid w:val="00691439"/>
    <w:rsid w:val="0069288B"/>
    <w:rsid w:val="00693012"/>
    <w:rsid w:val="006934B5"/>
    <w:rsid w:val="006946BB"/>
    <w:rsid w:val="006972AD"/>
    <w:rsid w:val="00697BAD"/>
    <w:rsid w:val="006A0520"/>
    <w:rsid w:val="006A209E"/>
    <w:rsid w:val="006A2416"/>
    <w:rsid w:val="006A2693"/>
    <w:rsid w:val="006A471B"/>
    <w:rsid w:val="006A5E20"/>
    <w:rsid w:val="006B17F7"/>
    <w:rsid w:val="006B1B3C"/>
    <w:rsid w:val="006B322C"/>
    <w:rsid w:val="006B32BF"/>
    <w:rsid w:val="006B444E"/>
    <w:rsid w:val="006C17F8"/>
    <w:rsid w:val="006C3121"/>
    <w:rsid w:val="006C34E7"/>
    <w:rsid w:val="006C5854"/>
    <w:rsid w:val="006C71F2"/>
    <w:rsid w:val="006D03F5"/>
    <w:rsid w:val="006D073C"/>
    <w:rsid w:val="006D1331"/>
    <w:rsid w:val="006D24A5"/>
    <w:rsid w:val="006D39D0"/>
    <w:rsid w:val="006D3D1B"/>
    <w:rsid w:val="006D4403"/>
    <w:rsid w:val="006D6B71"/>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3FC2"/>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15B3"/>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972"/>
    <w:rsid w:val="008B6DF2"/>
    <w:rsid w:val="008B6F11"/>
    <w:rsid w:val="008B718D"/>
    <w:rsid w:val="008B7AC8"/>
    <w:rsid w:val="008C0225"/>
    <w:rsid w:val="008C0D4A"/>
    <w:rsid w:val="008C3079"/>
    <w:rsid w:val="008C3AF2"/>
    <w:rsid w:val="008C404E"/>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2047"/>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4A9"/>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2C6"/>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AFE"/>
    <w:rsid w:val="00BA0BA8"/>
    <w:rsid w:val="00BA1B40"/>
    <w:rsid w:val="00BA3B05"/>
    <w:rsid w:val="00BA6BEE"/>
    <w:rsid w:val="00BA738D"/>
    <w:rsid w:val="00BA7D20"/>
    <w:rsid w:val="00BB3101"/>
    <w:rsid w:val="00BB53E8"/>
    <w:rsid w:val="00BC0CF0"/>
    <w:rsid w:val="00BC35EA"/>
    <w:rsid w:val="00BC5A27"/>
    <w:rsid w:val="00BC6AFB"/>
    <w:rsid w:val="00BC6B81"/>
    <w:rsid w:val="00BC7D37"/>
    <w:rsid w:val="00BD2F75"/>
    <w:rsid w:val="00BD4405"/>
    <w:rsid w:val="00BD6A90"/>
    <w:rsid w:val="00BE000D"/>
    <w:rsid w:val="00BE01C2"/>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BAE"/>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1EAF"/>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0B8"/>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0469"/>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33BD"/>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1DE7640"/>
    <w:rsid w:val="02237153"/>
    <w:rsid w:val="02435EE5"/>
    <w:rsid w:val="028D37FB"/>
    <w:rsid w:val="02CF01B1"/>
    <w:rsid w:val="02DD2615"/>
    <w:rsid w:val="03005F32"/>
    <w:rsid w:val="030D40D0"/>
    <w:rsid w:val="030D7D32"/>
    <w:rsid w:val="031E7295"/>
    <w:rsid w:val="03343341"/>
    <w:rsid w:val="033E544F"/>
    <w:rsid w:val="03733562"/>
    <w:rsid w:val="038D108E"/>
    <w:rsid w:val="038F72EC"/>
    <w:rsid w:val="03A865D9"/>
    <w:rsid w:val="03AD4A6D"/>
    <w:rsid w:val="04220EB1"/>
    <w:rsid w:val="04226A84"/>
    <w:rsid w:val="04371027"/>
    <w:rsid w:val="04446103"/>
    <w:rsid w:val="04A3318B"/>
    <w:rsid w:val="04C64E02"/>
    <w:rsid w:val="0503641B"/>
    <w:rsid w:val="05105A18"/>
    <w:rsid w:val="05322128"/>
    <w:rsid w:val="0560079D"/>
    <w:rsid w:val="056104BC"/>
    <w:rsid w:val="05B9404A"/>
    <w:rsid w:val="05C2125A"/>
    <w:rsid w:val="05E67615"/>
    <w:rsid w:val="05FA5D1E"/>
    <w:rsid w:val="0605178D"/>
    <w:rsid w:val="06112826"/>
    <w:rsid w:val="06236F09"/>
    <w:rsid w:val="062C661A"/>
    <w:rsid w:val="064D0C7B"/>
    <w:rsid w:val="066F4A33"/>
    <w:rsid w:val="068A0438"/>
    <w:rsid w:val="0693255A"/>
    <w:rsid w:val="06EA2838"/>
    <w:rsid w:val="070161F7"/>
    <w:rsid w:val="072E4129"/>
    <w:rsid w:val="07465D65"/>
    <w:rsid w:val="075925E6"/>
    <w:rsid w:val="07992F5A"/>
    <w:rsid w:val="07BB7068"/>
    <w:rsid w:val="080A3FCD"/>
    <w:rsid w:val="0827239F"/>
    <w:rsid w:val="083D5237"/>
    <w:rsid w:val="084142D3"/>
    <w:rsid w:val="08537854"/>
    <w:rsid w:val="08675B42"/>
    <w:rsid w:val="09680BBB"/>
    <w:rsid w:val="09871B38"/>
    <w:rsid w:val="099D077B"/>
    <w:rsid w:val="0A132998"/>
    <w:rsid w:val="0A4B5634"/>
    <w:rsid w:val="0AB477AE"/>
    <w:rsid w:val="0AD3407A"/>
    <w:rsid w:val="0AE07D73"/>
    <w:rsid w:val="0AF134B2"/>
    <w:rsid w:val="0B1D4B9F"/>
    <w:rsid w:val="0BA13B35"/>
    <w:rsid w:val="0BBC2399"/>
    <w:rsid w:val="0BCF27F9"/>
    <w:rsid w:val="0C23126C"/>
    <w:rsid w:val="0C81081E"/>
    <w:rsid w:val="0C8A0B43"/>
    <w:rsid w:val="0C8D26EF"/>
    <w:rsid w:val="0CBB0DCD"/>
    <w:rsid w:val="0CC61161"/>
    <w:rsid w:val="0D850800"/>
    <w:rsid w:val="0D8B0F9C"/>
    <w:rsid w:val="0D936180"/>
    <w:rsid w:val="0D97210F"/>
    <w:rsid w:val="0DA21979"/>
    <w:rsid w:val="0DA80698"/>
    <w:rsid w:val="0E920773"/>
    <w:rsid w:val="0E9E7E62"/>
    <w:rsid w:val="0ECD436B"/>
    <w:rsid w:val="0ED52CCF"/>
    <w:rsid w:val="0EF515F7"/>
    <w:rsid w:val="0F030352"/>
    <w:rsid w:val="0F075B3D"/>
    <w:rsid w:val="0F413EB1"/>
    <w:rsid w:val="0F74290B"/>
    <w:rsid w:val="0FE1222A"/>
    <w:rsid w:val="0FEE7B63"/>
    <w:rsid w:val="0FF90584"/>
    <w:rsid w:val="0FFE21D2"/>
    <w:rsid w:val="10967BE4"/>
    <w:rsid w:val="10C860A5"/>
    <w:rsid w:val="10DA54EB"/>
    <w:rsid w:val="10FA11B9"/>
    <w:rsid w:val="11105BCB"/>
    <w:rsid w:val="112E5545"/>
    <w:rsid w:val="11A1131D"/>
    <w:rsid w:val="11D27DC5"/>
    <w:rsid w:val="11D6694D"/>
    <w:rsid w:val="11D72E84"/>
    <w:rsid w:val="11FF3BA3"/>
    <w:rsid w:val="12097EEB"/>
    <w:rsid w:val="12545E04"/>
    <w:rsid w:val="12F521C1"/>
    <w:rsid w:val="13062350"/>
    <w:rsid w:val="137551BA"/>
    <w:rsid w:val="138253F3"/>
    <w:rsid w:val="13CA78A4"/>
    <w:rsid w:val="13E90E7D"/>
    <w:rsid w:val="13F803B8"/>
    <w:rsid w:val="13F81771"/>
    <w:rsid w:val="13F86D15"/>
    <w:rsid w:val="14130160"/>
    <w:rsid w:val="149B346D"/>
    <w:rsid w:val="149D2C0B"/>
    <w:rsid w:val="149F58E1"/>
    <w:rsid w:val="152336C8"/>
    <w:rsid w:val="15310CF8"/>
    <w:rsid w:val="15447327"/>
    <w:rsid w:val="1588570F"/>
    <w:rsid w:val="158F25CA"/>
    <w:rsid w:val="15B21392"/>
    <w:rsid w:val="16251A7B"/>
    <w:rsid w:val="168604B3"/>
    <w:rsid w:val="16CD3142"/>
    <w:rsid w:val="16DB572C"/>
    <w:rsid w:val="16FE1415"/>
    <w:rsid w:val="172C29D4"/>
    <w:rsid w:val="17330D1A"/>
    <w:rsid w:val="17564E9E"/>
    <w:rsid w:val="178E3F62"/>
    <w:rsid w:val="179A11D6"/>
    <w:rsid w:val="17E31A7D"/>
    <w:rsid w:val="187278CB"/>
    <w:rsid w:val="18B25606"/>
    <w:rsid w:val="18C15495"/>
    <w:rsid w:val="19154E02"/>
    <w:rsid w:val="194075FE"/>
    <w:rsid w:val="19577794"/>
    <w:rsid w:val="19877B1F"/>
    <w:rsid w:val="19951B5B"/>
    <w:rsid w:val="19F84C38"/>
    <w:rsid w:val="1A1C7CD0"/>
    <w:rsid w:val="1A202DC3"/>
    <w:rsid w:val="1A51348E"/>
    <w:rsid w:val="1A595C8F"/>
    <w:rsid w:val="1A5D6431"/>
    <w:rsid w:val="1AAD1ACB"/>
    <w:rsid w:val="1B01191A"/>
    <w:rsid w:val="1B0C1623"/>
    <w:rsid w:val="1B326183"/>
    <w:rsid w:val="1B3D734C"/>
    <w:rsid w:val="1B447FB2"/>
    <w:rsid w:val="1B85705F"/>
    <w:rsid w:val="1B9158C8"/>
    <w:rsid w:val="1BA94C6B"/>
    <w:rsid w:val="1BC00537"/>
    <w:rsid w:val="1BD838BE"/>
    <w:rsid w:val="1BF926A9"/>
    <w:rsid w:val="1C433887"/>
    <w:rsid w:val="1C63352B"/>
    <w:rsid w:val="1C767603"/>
    <w:rsid w:val="1CAC66F9"/>
    <w:rsid w:val="1CC31220"/>
    <w:rsid w:val="1CD1668F"/>
    <w:rsid w:val="1CD24564"/>
    <w:rsid w:val="1CDF509E"/>
    <w:rsid w:val="1D37508A"/>
    <w:rsid w:val="1D442687"/>
    <w:rsid w:val="1D833AD0"/>
    <w:rsid w:val="1DA7769E"/>
    <w:rsid w:val="1DB54E36"/>
    <w:rsid w:val="1E26544F"/>
    <w:rsid w:val="1E303E15"/>
    <w:rsid w:val="1EDF0E4F"/>
    <w:rsid w:val="1EF20C24"/>
    <w:rsid w:val="1EFA27BD"/>
    <w:rsid w:val="1F456C3D"/>
    <w:rsid w:val="1F7A021E"/>
    <w:rsid w:val="1FAB1086"/>
    <w:rsid w:val="1FCE7A0A"/>
    <w:rsid w:val="1FF36C63"/>
    <w:rsid w:val="1FFE527A"/>
    <w:rsid w:val="20410D06"/>
    <w:rsid w:val="20710830"/>
    <w:rsid w:val="20794362"/>
    <w:rsid w:val="209B3FAE"/>
    <w:rsid w:val="20A94838"/>
    <w:rsid w:val="20C95856"/>
    <w:rsid w:val="20DB2918"/>
    <w:rsid w:val="215A3B58"/>
    <w:rsid w:val="21A878A2"/>
    <w:rsid w:val="21B80284"/>
    <w:rsid w:val="21C469B0"/>
    <w:rsid w:val="21C60C94"/>
    <w:rsid w:val="22083A05"/>
    <w:rsid w:val="22096CA7"/>
    <w:rsid w:val="22895BE8"/>
    <w:rsid w:val="22C67E26"/>
    <w:rsid w:val="23350755"/>
    <w:rsid w:val="23414E98"/>
    <w:rsid w:val="234D01CE"/>
    <w:rsid w:val="23557D99"/>
    <w:rsid w:val="237B467C"/>
    <w:rsid w:val="23B00172"/>
    <w:rsid w:val="23B61459"/>
    <w:rsid w:val="23CF472F"/>
    <w:rsid w:val="24012D10"/>
    <w:rsid w:val="243F6622"/>
    <w:rsid w:val="24844D27"/>
    <w:rsid w:val="24B95E28"/>
    <w:rsid w:val="24C1538F"/>
    <w:rsid w:val="24E446E9"/>
    <w:rsid w:val="24F80306"/>
    <w:rsid w:val="24FF4E38"/>
    <w:rsid w:val="252213D0"/>
    <w:rsid w:val="25374AF3"/>
    <w:rsid w:val="25450769"/>
    <w:rsid w:val="257B287A"/>
    <w:rsid w:val="25A8674B"/>
    <w:rsid w:val="25C73B3B"/>
    <w:rsid w:val="25D9362D"/>
    <w:rsid w:val="25EA26C1"/>
    <w:rsid w:val="26005B04"/>
    <w:rsid w:val="261D6F87"/>
    <w:rsid w:val="27337794"/>
    <w:rsid w:val="27355873"/>
    <w:rsid w:val="27DF6666"/>
    <w:rsid w:val="27E8466F"/>
    <w:rsid w:val="27EE1B5B"/>
    <w:rsid w:val="282E5EC3"/>
    <w:rsid w:val="28354E82"/>
    <w:rsid w:val="28391989"/>
    <w:rsid w:val="28525986"/>
    <w:rsid w:val="285B60A9"/>
    <w:rsid w:val="28652863"/>
    <w:rsid w:val="288A5D4C"/>
    <w:rsid w:val="28C536BF"/>
    <w:rsid w:val="28DD25E0"/>
    <w:rsid w:val="28FF1F96"/>
    <w:rsid w:val="29064C4D"/>
    <w:rsid w:val="29655D4A"/>
    <w:rsid w:val="29973DBD"/>
    <w:rsid w:val="29DC5247"/>
    <w:rsid w:val="2B591B29"/>
    <w:rsid w:val="2B6644AD"/>
    <w:rsid w:val="2BB22A8A"/>
    <w:rsid w:val="2BEC617B"/>
    <w:rsid w:val="2BF54791"/>
    <w:rsid w:val="2C240C3C"/>
    <w:rsid w:val="2C672833"/>
    <w:rsid w:val="2C837CC5"/>
    <w:rsid w:val="2C893779"/>
    <w:rsid w:val="2CD418E5"/>
    <w:rsid w:val="2D0E6475"/>
    <w:rsid w:val="2DB24AA4"/>
    <w:rsid w:val="2DB615D4"/>
    <w:rsid w:val="2DE043C2"/>
    <w:rsid w:val="2E0C7A1C"/>
    <w:rsid w:val="2E1D46A8"/>
    <w:rsid w:val="2E4F5666"/>
    <w:rsid w:val="2E821397"/>
    <w:rsid w:val="2E8350B5"/>
    <w:rsid w:val="2E846E01"/>
    <w:rsid w:val="2E8F1ECC"/>
    <w:rsid w:val="2EC9634C"/>
    <w:rsid w:val="2EE230F1"/>
    <w:rsid w:val="2EE64F31"/>
    <w:rsid w:val="2F421151"/>
    <w:rsid w:val="2F747280"/>
    <w:rsid w:val="2F880E2A"/>
    <w:rsid w:val="2FDC1401"/>
    <w:rsid w:val="30520083"/>
    <w:rsid w:val="30561973"/>
    <w:rsid w:val="308D49A4"/>
    <w:rsid w:val="30917E27"/>
    <w:rsid w:val="30CD0950"/>
    <w:rsid w:val="30ED3219"/>
    <w:rsid w:val="30F636CE"/>
    <w:rsid w:val="31171833"/>
    <w:rsid w:val="31276540"/>
    <w:rsid w:val="31696698"/>
    <w:rsid w:val="3176218B"/>
    <w:rsid w:val="31A352EC"/>
    <w:rsid w:val="32AD43B0"/>
    <w:rsid w:val="32DA35B9"/>
    <w:rsid w:val="32F2307E"/>
    <w:rsid w:val="32F953D2"/>
    <w:rsid w:val="33000A2E"/>
    <w:rsid w:val="331D4D45"/>
    <w:rsid w:val="34626DAE"/>
    <w:rsid w:val="348D6D89"/>
    <w:rsid w:val="34AF42A0"/>
    <w:rsid w:val="34F21765"/>
    <w:rsid w:val="350B05E4"/>
    <w:rsid w:val="35954B20"/>
    <w:rsid w:val="359B5634"/>
    <w:rsid w:val="359F07A3"/>
    <w:rsid w:val="35B75306"/>
    <w:rsid w:val="35DA7390"/>
    <w:rsid w:val="35DD5BE8"/>
    <w:rsid w:val="35E6793D"/>
    <w:rsid w:val="35F1548B"/>
    <w:rsid w:val="3667221E"/>
    <w:rsid w:val="3681148B"/>
    <w:rsid w:val="369063FA"/>
    <w:rsid w:val="36A646A7"/>
    <w:rsid w:val="378A2713"/>
    <w:rsid w:val="37AF093D"/>
    <w:rsid w:val="37D24CA4"/>
    <w:rsid w:val="38F77026"/>
    <w:rsid w:val="390B3BAD"/>
    <w:rsid w:val="39353570"/>
    <w:rsid w:val="3A915C02"/>
    <w:rsid w:val="3AB62979"/>
    <w:rsid w:val="3ABF293E"/>
    <w:rsid w:val="3ACF2DFF"/>
    <w:rsid w:val="3AD60E6F"/>
    <w:rsid w:val="3B1E2C92"/>
    <w:rsid w:val="3B627CF4"/>
    <w:rsid w:val="3BA76F36"/>
    <w:rsid w:val="3BB4504B"/>
    <w:rsid w:val="3C0B4EF4"/>
    <w:rsid w:val="3C156AA2"/>
    <w:rsid w:val="3C2F06EC"/>
    <w:rsid w:val="3C6E0DD8"/>
    <w:rsid w:val="3CAF042D"/>
    <w:rsid w:val="3CB46C36"/>
    <w:rsid w:val="3CF22462"/>
    <w:rsid w:val="3D23337D"/>
    <w:rsid w:val="3E8E06D6"/>
    <w:rsid w:val="3EC576AD"/>
    <w:rsid w:val="3ED50494"/>
    <w:rsid w:val="3FAC2834"/>
    <w:rsid w:val="40A94D33"/>
    <w:rsid w:val="40B01A65"/>
    <w:rsid w:val="40BA7418"/>
    <w:rsid w:val="40C1059D"/>
    <w:rsid w:val="410D3985"/>
    <w:rsid w:val="411C2F72"/>
    <w:rsid w:val="41612BC7"/>
    <w:rsid w:val="41870684"/>
    <w:rsid w:val="41946782"/>
    <w:rsid w:val="4196177A"/>
    <w:rsid w:val="429B3FB2"/>
    <w:rsid w:val="430F7D93"/>
    <w:rsid w:val="43265537"/>
    <w:rsid w:val="433656A7"/>
    <w:rsid w:val="4364761E"/>
    <w:rsid w:val="4378508A"/>
    <w:rsid w:val="43BA1751"/>
    <w:rsid w:val="43BF4487"/>
    <w:rsid w:val="43C05D80"/>
    <w:rsid w:val="440A3D8B"/>
    <w:rsid w:val="44284B5F"/>
    <w:rsid w:val="44474811"/>
    <w:rsid w:val="44604933"/>
    <w:rsid w:val="44714AFB"/>
    <w:rsid w:val="44796AC2"/>
    <w:rsid w:val="44FD15D2"/>
    <w:rsid w:val="45130F9E"/>
    <w:rsid w:val="45175857"/>
    <w:rsid w:val="452520DD"/>
    <w:rsid w:val="453B32A8"/>
    <w:rsid w:val="454E77EE"/>
    <w:rsid w:val="461F3EBE"/>
    <w:rsid w:val="464E73A4"/>
    <w:rsid w:val="4684492B"/>
    <w:rsid w:val="46885010"/>
    <w:rsid w:val="469E548C"/>
    <w:rsid w:val="46AD6854"/>
    <w:rsid w:val="4705712E"/>
    <w:rsid w:val="471C7DBF"/>
    <w:rsid w:val="47BE2F68"/>
    <w:rsid w:val="47CB3E36"/>
    <w:rsid w:val="47F61B67"/>
    <w:rsid w:val="485A0EA8"/>
    <w:rsid w:val="486354FC"/>
    <w:rsid w:val="48811E6D"/>
    <w:rsid w:val="488A744B"/>
    <w:rsid w:val="48DF35DF"/>
    <w:rsid w:val="492926C9"/>
    <w:rsid w:val="49725FD1"/>
    <w:rsid w:val="49BF4571"/>
    <w:rsid w:val="4A145737"/>
    <w:rsid w:val="4A365D92"/>
    <w:rsid w:val="4A4F7B6C"/>
    <w:rsid w:val="4A515382"/>
    <w:rsid w:val="4A8B7951"/>
    <w:rsid w:val="4AD51513"/>
    <w:rsid w:val="4AEF427C"/>
    <w:rsid w:val="4BA56ACE"/>
    <w:rsid w:val="4BB23BBB"/>
    <w:rsid w:val="4BB42B60"/>
    <w:rsid w:val="4BCE305D"/>
    <w:rsid w:val="4C4614BD"/>
    <w:rsid w:val="4C6D376A"/>
    <w:rsid w:val="4C936A3B"/>
    <w:rsid w:val="4CEF26B4"/>
    <w:rsid w:val="4D1B4648"/>
    <w:rsid w:val="4D6F59A6"/>
    <w:rsid w:val="4DCA5C65"/>
    <w:rsid w:val="4DEF3BEF"/>
    <w:rsid w:val="4E076833"/>
    <w:rsid w:val="4E231736"/>
    <w:rsid w:val="4E27013D"/>
    <w:rsid w:val="4E9354A6"/>
    <w:rsid w:val="4F0F2447"/>
    <w:rsid w:val="4F120A7A"/>
    <w:rsid w:val="4F217F9B"/>
    <w:rsid w:val="4F505B88"/>
    <w:rsid w:val="4F604D34"/>
    <w:rsid w:val="4FEC6678"/>
    <w:rsid w:val="50443630"/>
    <w:rsid w:val="504C3368"/>
    <w:rsid w:val="5067612A"/>
    <w:rsid w:val="509C405F"/>
    <w:rsid w:val="50F03809"/>
    <w:rsid w:val="50FF71E7"/>
    <w:rsid w:val="5126460E"/>
    <w:rsid w:val="5136184C"/>
    <w:rsid w:val="51766FA2"/>
    <w:rsid w:val="5188598E"/>
    <w:rsid w:val="51936115"/>
    <w:rsid w:val="51D6626D"/>
    <w:rsid w:val="521E7F95"/>
    <w:rsid w:val="523E4376"/>
    <w:rsid w:val="52400863"/>
    <w:rsid w:val="525853E7"/>
    <w:rsid w:val="52B20682"/>
    <w:rsid w:val="52F77230"/>
    <w:rsid w:val="532606DF"/>
    <w:rsid w:val="53C564F0"/>
    <w:rsid w:val="53D123DC"/>
    <w:rsid w:val="540D40C4"/>
    <w:rsid w:val="545C5D5F"/>
    <w:rsid w:val="547871EB"/>
    <w:rsid w:val="54793793"/>
    <w:rsid w:val="549D6082"/>
    <w:rsid w:val="54B57CF7"/>
    <w:rsid w:val="54B946F7"/>
    <w:rsid w:val="54B97DCC"/>
    <w:rsid w:val="54EB63CD"/>
    <w:rsid w:val="551B7C86"/>
    <w:rsid w:val="55384DC6"/>
    <w:rsid w:val="55430C32"/>
    <w:rsid w:val="557233A0"/>
    <w:rsid w:val="557E11BB"/>
    <w:rsid w:val="56BC720C"/>
    <w:rsid w:val="56C647B3"/>
    <w:rsid w:val="56E12E8A"/>
    <w:rsid w:val="56EF5D14"/>
    <w:rsid w:val="572B04AD"/>
    <w:rsid w:val="573B36AB"/>
    <w:rsid w:val="57720192"/>
    <w:rsid w:val="57CA1BFB"/>
    <w:rsid w:val="57DF501C"/>
    <w:rsid w:val="58096E6F"/>
    <w:rsid w:val="582D1AC4"/>
    <w:rsid w:val="588D112C"/>
    <w:rsid w:val="590E1D84"/>
    <w:rsid w:val="59272D23"/>
    <w:rsid w:val="595B5966"/>
    <w:rsid w:val="59B72D27"/>
    <w:rsid w:val="59C04459"/>
    <w:rsid w:val="59F11840"/>
    <w:rsid w:val="5A246D39"/>
    <w:rsid w:val="5A2D6255"/>
    <w:rsid w:val="5A344C5B"/>
    <w:rsid w:val="5A404F42"/>
    <w:rsid w:val="5A4910FB"/>
    <w:rsid w:val="5A586E6E"/>
    <w:rsid w:val="5A5B1261"/>
    <w:rsid w:val="5A6010F7"/>
    <w:rsid w:val="5A751744"/>
    <w:rsid w:val="5AC2653B"/>
    <w:rsid w:val="5AE747C3"/>
    <w:rsid w:val="5B092265"/>
    <w:rsid w:val="5B0F786F"/>
    <w:rsid w:val="5B3E0ACF"/>
    <w:rsid w:val="5B4A3D91"/>
    <w:rsid w:val="5B5C25E4"/>
    <w:rsid w:val="5B774E71"/>
    <w:rsid w:val="5B86479E"/>
    <w:rsid w:val="5B9E6027"/>
    <w:rsid w:val="5BA23B0C"/>
    <w:rsid w:val="5BCC52B7"/>
    <w:rsid w:val="5C0B3189"/>
    <w:rsid w:val="5C0E651B"/>
    <w:rsid w:val="5C2442E8"/>
    <w:rsid w:val="5C463AE1"/>
    <w:rsid w:val="5C4C1B75"/>
    <w:rsid w:val="5C6F7962"/>
    <w:rsid w:val="5CB222BB"/>
    <w:rsid w:val="5CD46939"/>
    <w:rsid w:val="5CDF7D10"/>
    <w:rsid w:val="5CFF5879"/>
    <w:rsid w:val="5D2B4BB7"/>
    <w:rsid w:val="5D4930BF"/>
    <w:rsid w:val="5D8A4F8E"/>
    <w:rsid w:val="5E1D09B1"/>
    <w:rsid w:val="5E42737D"/>
    <w:rsid w:val="5E43257A"/>
    <w:rsid w:val="5E6C2D25"/>
    <w:rsid w:val="5E984F4E"/>
    <w:rsid w:val="5EE0506F"/>
    <w:rsid w:val="5F362843"/>
    <w:rsid w:val="5F63338A"/>
    <w:rsid w:val="5F6A70D2"/>
    <w:rsid w:val="5F7C130F"/>
    <w:rsid w:val="5F9472E7"/>
    <w:rsid w:val="5F9E5A83"/>
    <w:rsid w:val="600A602E"/>
    <w:rsid w:val="603F2C9B"/>
    <w:rsid w:val="60527107"/>
    <w:rsid w:val="607C091B"/>
    <w:rsid w:val="60982C3C"/>
    <w:rsid w:val="60B55130"/>
    <w:rsid w:val="611412CD"/>
    <w:rsid w:val="61171764"/>
    <w:rsid w:val="611C403B"/>
    <w:rsid w:val="612C310A"/>
    <w:rsid w:val="612F7E3B"/>
    <w:rsid w:val="61687FE2"/>
    <w:rsid w:val="61807FF6"/>
    <w:rsid w:val="61AA735E"/>
    <w:rsid w:val="61E86642"/>
    <w:rsid w:val="621A3574"/>
    <w:rsid w:val="62AB7D14"/>
    <w:rsid w:val="62B97337"/>
    <w:rsid w:val="62E01977"/>
    <w:rsid w:val="62E95975"/>
    <w:rsid w:val="62F507BA"/>
    <w:rsid w:val="635D3582"/>
    <w:rsid w:val="63613472"/>
    <w:rsid w:val="63681B9C"/>
    <w:rsid w:val="63D262A7"/>
    <w:rsid w:val="63D8455C"/>
    <w:rsid w:val="64643702"/>
    <w:rsid w:val="64B03B59"/>
    <w:rsid w:val="64E06A1A"/>
    <w:rsid w:val="64E351D7"/>
    <w:rsid w:val="64FF45CD"/>
    <w:rsid w:val="65147CC8"/>
    <w:rsid w:val="6537655B"/>
    <w:rsid w:val="654A1320"/>
    <w:rsid w:val="65681D1D"/>
    <w:rsid w:val="65856911"/>
    <w:rsid w:val="65D331FF"/>
    <w:rsid w:val="663B75F8"/>
    <w:rsid w:val="668C02C9"/>
    <w:rsid w:val="669407C0"/>
    <w:rsid w:val="66A8173D"/>
    <w:rsid w:val="66CF4A15"/>
    <w:rsid w:val="66F50CAA"/>
    <w:rsid w:val="67194E2F"/>
    <w:rsid w:val="67552EB1"/>
    <w:rsid w:val="676A6A91"/>
    <w:rsid w:val="67784575"/>
    <w:rsid w:val="67DB6000"/>
    <w:rsid w:val="67E8480C"/>
    <w:rsid w:val="68015A0E"/>
    <w:rsid w:val="68171E00"/>
    <w:rsid w:val="681B3870"/>
    <w:rsid w:val="68910E56"/>
    <w:rsid w:val="68AB1D64"/>
    <w:rsid w:val="68C826A0"/>
    <w:rsid w:val="68F21E64"/>
    <w:rsid w:val="694F7499"/>
    <w:rsid w:val="69746D83"/>
    <w:rsid w:val="69C223F9"/>
    <w:rsid w:val="69DD1477"/>
    <w:rsid w:val="69E4021A"/>
    <w:rsid w:val="69EA7815"/>
    <w:rsid w:val="6A3833A6"/>
    <w:rsid w:val="6A6F5EEB"/>
    <w:rsid w:val="6ADC1DEB"/>
    <w:rsid w:val="6AE00BC1"/>
    <w:rsid w:val="6B23238E"/>
    <w:rsid w:val="6B38463A"/>
    <w:rsid w:val="6B3A1344"/>
    <w:rsid w:val="6B4E619A"/>
    <w:rsid w:val="6B8148DE"/>
    <w:rsid w:val="6BE60AD2"/>
    <w:rsid w:val="6C2D2B5A"/>
    <w:rsid w:val="6C461D15"/>
    <w:rsid w:val="6C7B529C"/>
    <w:rsid w:val="6C7C2784"/>
    <w:rsid w:val="6C8A10F7"/>
    <w:rsid w:val="6C991530"/>
    <w:rsid w:val="6CA84F28"/>
    <w:rsid w:val="6CAC6D99"/>
    <w:rsid w:val="6CC3543E"/>
    <w:rsid w:val="6CDC3B2B"/>
    <w:rsid w:val="6CDF1EAF"/>
    <w:rsid w:val="6CE63799"/>
    <w:rsid w:val="6D2F3BBD"/>
    <w:rsid w:val="6D7B7A66"/>
    <w:rsid w:val="6D905698"/>
    <w:rsid w:val="6DA61A64"/>
    <w:rsid w:val="6DBD0949"/>
    <w:rsid w:val="6DCA209B"/>
    <w:rsid w:val="6E1603CB"/>
    <w:rsid w:val="6E577091"/>
    <w:rsid w:val="6E814F53"/>
    <w:rsid w:val="6E84034D"/>
    <w:rsid w:val="6F0D1E43"/>
    <w:rsid w:val="6F15442F"/>
    <w:rsid w:val="6F1E0D5A"/>
    <w:rsid w:val="6F2E04E4"/>
    <w:rsid w:val="6F493520"/>
    <w:rsid w:val="6FA12229"/>
    <w:rsid w:val="6FC22B46"/>
    <w:rsid w:val="6FDC7143"/>
    <w:rsid w:val="6FE45653"/>
    <w:rsid w:val="70554341"/>
    <w:rsid w:val="7089404F"/>
    <w:rsid w:val="70AF1C7C"/>
    <w:rsid w:val="70D6700E"/>
    <w:rsid w:val="71272110"/>
    <w:rsid w:val="719D793C"/>
    <w:rsid w:val="71BC5F4C"/>
    <w:rsid w:val="71D42690"/>
    <w:rsid w:val="71FE35D0"/>
    <w:rsid w:val="72512AA3"/>
    <w:rsid w:val="727A42CD"/>
    <w:rsid w:val="72E31C10"/>
    <w:rsid w:val="730D7616"/>
    <w:rsid w:val="73310E11"/>
    <w:rsid w:val="73710DE8"/>
    <w:rsid w:val="738B6ECD"/>
    <w:rsid w:val="740D39D4"/>
    <w:rsid w:val="74183D26"/>
    <w:rsid w:val="742A1457"/>
    <w:rsid w:val="743069D9"/>
    <w:rsid w:val="749D7B69"/>
    <w:rsid w:val="74F32128"/>
    <w:rsid w:val="75652953"/>
    <w:rsid w:val="75934016"/>
    <w:rsid w:val="75C84817"/>
    <w:rsid w:val="75CB0ECB"/>
    <w:rsid w:val="75E7418D"/>
    <w:rsid w:val="76071FAE"/>
    <w:rsid w:val="76131444"/>
    <w:rsid w:val="762A7C7A"/>
    <w:rsid w:val="76645525"/>
    <w:rsid w:val="76647829"/>
    <w:rsid w:val="773B151D"/>
    <w:rsid w:val="780A14FB"/>
    <w:rsid w:val="780E4292"/>
    <w:rsid w:val="781666A4"/>
    <w:rsid w:val="781E6760"/>
    <w:rsid w:val="78413F3B"/>
    <w:rsid w:val="7875223D"/>
    <w:rsid w:val="793A7663"/>
    <w:rsid w:val="799F2BDF"/>
    <w:rsid w:val="79B07D84"/>
    <w:rsid w:val="79BD11E7"/>
    <w:rsid w:val="79C54F96"/>
    <w:rsid w:val="7A0E3BAD"/>
    <w:rsid w:val="7A1816D7"/>
    <w:rsid w:val="7A6779ED"/>
    <w:rsid w:val="7A7F1552"/>
    <w:rsid w:val="7A8F2184"/>
    <w:rsid w:val="7AB279F2"/>
    <w:rsid w:val="7AE65844"/>
    <w:rsid w:val="7B3159C3"/>
    <w:rsid w:val="7B4C6CB8"/>
    <w:rsid w:val="7B7873A1"/>
    <w:rsid w:val="7B9D1504"/>
    <w:rsid w:val="7BE34C4E"/>
    <w:rsid w:val="7C403B9E"/>
    <w:rsid w:val="7C5D3006"/>
    <w:rsid w:val="7C993F7F"/>
    <w:rsid w:val="7CB32FA8"/>
    <w:rsid w:val="7CBE27BE"/>
    <w:rsid w:val="7CC5604D"/>
    <w:rsid w:val="7CD3558A"/>
    <w:rsid w:val="7CE27CFF"/>
    <w:rsid w:val="7D9F149E"/>
    <w:rsid w:val="7DD34743"/>
    <w:rsid w:val="7DF12D8F"/>
    <w:rsid w:val="7DF52673"/>
    <w:rsid w:val="7E14633A"/>
    <w:rsid w:val="7E670716"/>
    <w:rsid w:val="7E8F6CAE"/>
    <w:rsid w:val="7F0167D8"/>
    <w:rsid w:val="7F6B0553"/>
    <w:rsid w:val="7F857CDD"/>
    <w:rsid w:val="7F8F3199"/>
    <w:rsid w:val="7FD465F2"/>
    <w:rsid w:val="7FE0209D"/>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Indent"/>
    <w:basedOn w:val="1"/>
    <w:qFormat/>
    <w:uiPriority w:val="0"/>
    <w:pPr>
      <w:ind w:firstLine="576"/>
    </w:pPr>
    <w:rPr>
      <w:rFonts w:ascii="仿宋_GB2312" w:eastAsia="仿宋_GB2312"/>
      <w:sz w:val="28"/>
      <w:szCs w:val="24"/>
    </w:rPr>
  </w:style>
  <w:style w:type="paragraph" w:styleId="4">
    <w:name w:val="Plain Text"/>
    <w:basedOn w:val="1"/>
    <w:link w:val="18"/>
    <w:qFormat/>
    <w:uiPriority w:val="99"/>
    <w:rPr>
      <w:rFonts w:ascii="宋体" w:hAnsi="Courier New"/>
    </w:rPr>
  </w:style>
  <w:style w:type="paragraph" w:styleId="5">
    <w:name w:val="Date"/>
    <w:basedOn w:val="1"/>
    <w:next w:val="1"/>
    <w:qFormat/>
    <w:uiPriority w:val="0"/>
    <w:pPr>
      <w:adjustRightInd w:val="0"/>
      <w:spacing w:line="312" w:lineRule="atLeast"/>
      <w:jc w:val="right"/>
      <w:textAlignment w:val="baseline"/>
    </w:pPr>
    <w:rPr>
      <w:kern w:val="0"/>
    </w:rPr>
  </w:style>
  <w:style w:type="paragraph" w:styleId="6">
    <w:name w:val="Balloon Text"/>
    <w:basedOn w:val="1"/>
    <w:semiHidden/>
    <w:qFormat/>
    <w:uiPriority w:val="0"/>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1"/>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Table Classic 1"/>
    <w:basedOn w:val="11"/>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字符"/>
    <w:link w:val="2"/>
    <w:qFormat/>
    <w:uiPriority w:val="0"/>
    <w:rPr>
      <w:kern w:val="2"/>
      <w:sz w:val="21"/>
    </w:rPr>
  </w:style>
  <w:style w:type="character" w:customStyle="1" w:styleId="18">
    <w:name w:val="纯文本 字符"/>
    <w:link w:val="4"/>
    <w:qFormat/>
    <w:uiPriority w:val="99"/>
    <w:rPr>
      <w:rFonts w:ascii="宋体" w:hAnsi="Courier New"/>
      <w:kern w:val="2"/>
      <w:sz w:val="21"/>
    </w:rPr>
  </w:style>
  <w:style w:type="character" w:customStyle="1" w:styleId="19">
    <w:name w:val="页脚 字符"/>
    <w:link w:val="7"/>
    <w:qFormat/>
    <w:uiPriority w:val="0"/>
    <w:rPr>
      <w:kern w:val="2"/>
      <w:sz w:val="18"/>
      <w:szCs w:val="18"/>
    </w:rPr>
  </w:style>
  <w:style w:type="character" w:customStyle="1" w:styleId="20">
    <w:name w:val="页眉 字符"/>
    <w:link w:val="8"/>
    <w:qFormat/>
    <w:uiPriority w:val="0"/>
    <w:rPr>
      <w:kern w:val="2"/>
      <w:sz w:val="18"/>
      <w:szCs w:val="18"/>
    </w:rPr>
  </w:style>
  <w:style w:type="character" w:customStyle="1" w:styleId="21">
    <w:name w:val="批注主题 字符"/>
    <w:link w:val="10"/>
    <w:qFormat/>
    <w:uiPriority w:val="0"/>
    <w:rPr>
      <w:b/>
      <w:bCs/>
      <w:kern w:val="2"/>
      <w:sz w:val="21"/>
    </w:rPr>
  </w:style>
  <w:style w:type="paragraph" w:customStyle="1" w:styleId="22">
    <w:name w:val="CM3"/>
    <w:basedOn w:val="1"/>
    <w:next w:val="1"/>
    <w:qFormat/>
    <w:uiPriority w:val="0"/>
    <w:pPr>
      <w:autoSpaceDE w:val="0"/>
      <w:autoSpaceDN w:val="0"/>
      <w:adjustRightInd w:val="0"/>
      <w:spacing w:after="468"/>
      <w:jc w:val="left"/>
    </w:pPr>
    <w:rPr>
      <w:rFonts w:ascii="宋体"/>
      <w:kern w:val="0"/>
      <w:sz w:val="24"/>
      <w:szCs w:val="24"/>
    </w:rPr>
  </w:style>
  <w:style w:type="paragraph" w:customStyle="1" w:styleId="23">
    <w:name w:val="Char Char Char Char Char Char Char Char Char"/>
    <w:basedOn w:val="1"/>
    <w:qFormat/>
    <w:uiPriority w:val="0"/>
    <w:pPr>
      <w:numPr>
        <w:ilvl w:val="0"/>
        <w:numId w:val="1"/>
      </w:numPr>
    </w:pPr>
    <w:rPr>
      <w:sz w:val="24"/>
      <w:szCs w:val="24"/>
    </w:rPr>
  </w:style>
  <w:style w:type="paragraph" w:customStyle="1" w:styleId="24">
    <w:name w:val="CM2"/>
    <w:basedOn w:val="1"/>
    <w:next w:val="1"/>
    <w:qFormat/>
    <w:uiPriority w:val="0"/>
    <w:pPr>
      <w:autoSpaceDE w:val="0"/>
      <w:autoSpaceDN w:val="0"/>
      <w:adjustRightInd w:val="0"/>
      <w:spacing w:line="511" w:lineRule="atLeast"/>
      <w:jc w:val="left"/>
    </w:pPr>
    <w:rPr>
      <w:rFonts w:ascii="宋体"/>
      <w:kern w:val="0"/>
      <w:sz w:val="24"/>
      <w:szCs w:val="24"/>
    </w:rPr>
  </w:style>
  <w:style w:type="paragraph" w:customStyle="1" w:styleId="25">
    <w:name w:val="Default"/>
    <w:qFormat/>
    <w:uiPriority w:val="0"/>
    <w:pPr>
      <w:widowControl w:val="0"/>
      <w:autoSpaceDE w:val="0"/>
      <w:autoSpaceDN w:val="0"/>
      <w:adjustRightInd w:val="0"/>
    </w:pPr>
    <w:rPr>
      <w:rFonts w:ascii="宋体" w:hAnsi="Calibri" w:eastAsia="等线" w:cs="宋体"/>
      <w:color w:val="000000"/>
      <w:sz w:val="24"/>
      <w:szCs w:val="24"/>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paragraph" w:customStyle="1" w:styleId="27">
    <w:name w:val="CM11"/>
    <w:basedOn w:val="1"/>
    <w:next w:val="1"/>
    <w:qFormat/>
    <w:uiPriority w:val="0"/>
    <w:pPr>
      <w:autoSpaceDE w:val="0"/>
      <w:autoSpaceDN w:val="0"/>
      <w:adjustRightInd w:val="0"/>
      <w:spacing w:line="626" w:lineRule="atLeast"/>
      <w:jc w:val="left"/>
    </w:pPr>
    <w:rPr>
      <w:rFonts w:ascii="仿宋_GB2312" w:eastAsia="仿宋_GB2312"/>
      <w:kern w:val="0"/>
      <w:sz w:val="24"/>
      <w:szCs w:val="24"/>
    </w:rPr>
  </w:style>
  <w:style w:type="paragraph" w:customStyle="1" w:styleId="28">
    <w:name w:val="CM10"/>
    <w:basedOn w:val="25"/>
    <w:next w:val="25"/>
    <w:qFormat/>
    <w:uiPriority w:val="0"/>
    <w:pPr>
      <w:spacing w:after="723"/>
    </w:pPr>
    <w:rPr>
      <w:rFonts w:ascii="黑体" w:hAnsi="Times New Roman" w:eastAsia="黑体" w:cs="Times New Roman"/>
      <w:color w:val="auto"/>
    </w:rPr>
  </w:style>
  <w:style w:type="paragraph" w:styleId="29">
    <w:name w:val="List Paragraph"/>
    <w:basedOn w:val="1"/>
    <w:qFormat/>
    <w:uiPriority w:val="34"/>
    <w:pPr>
      <w:ind w:firstLine="420" w:firstLineChars="200"/>
    </w:pPr>
  </w:style>
  <w:style w:type="paragraph" w:customStyle="1" w:styleId="30">
    <w:name w:val="_Style 29"/>
    <w:unhideWhenUsed/>
    <w:qFormat/>
    <w:uiPriority w:val="99"/>
    <w:rPr>
      <w:rFonts w:ascii="Times New Roman" w:hAnsi="Times New Roman" w:eastAsia="等线"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310</Words>
  <Characters>1771</Characters>
  <Lines>14</Lines>
  <Paragraphs>4</Paragraphs>
  <TotalTime>8</TotalTime>
  <ScaleCrop>false</ScaleCrop>
  <LinksUpToDate>false</LinksUpToDate>
  <CharactersWithSpaces>2077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2018-04-09T06:33:00Z</dcterms:created>
  <dc:creator>qw</dc:creator>
  <cp:lastModifiedBy>P194919</cp:lastModifiedBy>
  <cp:lastPrinted>2017-05-27T01:49:00Z</cp:lastPrinted>
  <dcterms:modified xsi:type="dcterms:W3CDTF">2024-07-08T02:53:28Z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426E3178421044E48DCDE37279813C89_13</vt:lpwstr>
  </property>
</Properties>
</file>